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02" w:rsidRDefault="00F75102">
      <w:pPr>
        <w:rPr>
          <w:b/>
          <w:sz w:val="36"/>
        </w:rPr>
      </w:pPr>
      <w:r>
        <w:rPr>
          <w:b/>
          <w:sz w:val="36"/>
        </w:rPr>
        <w:t>KS.2 H</w:t>
      </w:r>
      <w:r w:rsidRPr="00F75102">
        <w:rPr>
          <w:b/>
          <w:sz w:val="36"/>
        </w:rPr>
        <w:t>istory Programme of Study</w:t>
      </w:r>
    </w:p>
    <w:p w:rsidR="00F75102" w:rsidRPr="00F75102" w:rsidRDefault="00F75102">
      <w:pPr>
        <w:rPr>
          <w:sz w:val="28"/>
        </w:rPr>
      </w:pPr>
      <w:r w:rsidRPr="00F75102">
        <w:rPr>
          <w:b/>
          <w:sz w:val="28"/>
        </w:rPr>
        <w:t>Rationale</w:t>
      </w:r>
      <w:r w:rsidRPr="00F75102">
        <w:rPr>
          <w:sz w:val="28"/>
        </w:rPr>
        <w:t>:</w:t>
      </w:r>
    </w:p>
    <w:p w:rsidR="005F232A" w:rsidRDefault="005F232A" w:rsidP="00F75102">
      <w:pPr>
        <w:pStyle w:val="ListParagraph"/>
        <w:numPr>
          <w:ilvl w:val="0"/>
          <w:numId w:val="1"/>
        </w:numPr>
        <w:rPr>
          <w:sz w:val="28"/>
        </w:rPr>
      </w:pPr>
      <w:r>
        <w:rPr>
          <w:sz w:val="28"/>
        </w:rPr>
        <w:t xml:space="preserve">I’ve spread the eight units out evenly over the four years of KS.2, deliberately leaving the middle term </w:t>
      </w:r>
      <w:r w:rsidR="004C3912">
        <w:rPr>
          <w:sz w:val="28"/>
        </w:rPr>
        <w:t xml:space="preserve">of each year </w:t>
      </w:r>
      <w:r>
        <w:rPr>
          <w:sz w:val="28"/>
        </w:rPr>
        <w:t xml:space="preserve">free. My thinking is </w:t>
      </w:r>
      <w:r w:rsidR="004C3912">
        <w:rPr>
          <w:sz w:val="28"/>
        </w:rPr>
        <w:t xml:space="preserve">this gives </w:t>
      </w:r>
      <w:r>
        <w:rPr>
          <w:sz w:val="28"/>
        </w:rPr>
        <w:t xml:space="preserve">teachers </w:t>
      </w:r>
      <w:r w:rsidR="004C3912">
        <w:rPr>
          <w:sz w:val="28"/>
        </w:rPr>
        <w:t>a choice</w:t>
      </w:r>
      <w:proofErr w:type="gramStart"/>
      <w:r w:rsidR="004C3912">
        <w:rPr>
          <w:sz w:val="28"/>
        </w:rPr>
        <w:t xml:space="preserve">, </w:t>
      </w:r>
      <w:r>
        <w:rPr>
          <w:sz w:val="28"/>
        </w:rPr>
        <w:t>either</w:t>
      </w:r>
      <w:proofErr w:type="gramEnd"/>
      <w:r>
        <w:rPr>
          <w:sz w:val="28"/>
        </w:rPr>
        <w:t xml:space="preserve"> to continue the previou</w:t>
      </w:r>
      <w:r w:rsidR="004C3912">
        <w:rPr>
          <w:sz w:val="28"/>
        </w:rPr>
        <w:t>s term’s study,</w:t>
      </w:r>
      <w:r>
        <w:rPr>
          <w:sz w:val="28"/>
        </w:rPr>
        <w:t xml:space="preserve"> start</w:t>
      </w:r>
      <w:r w:rsidR="004C3912">
        <w:rPr>
          <w:sz w:val="28"/>
        </w:rPr>
        <w:t xml:space="preserve"> the next term’s early or plan it </w:t>
      </w:r>
      <w:r>
        <w:rPr>
          <w:sz w:val="28"/>
        </w:rPr>
        <w:t xml:space="preserve">as a non-history teaching term. </w:t>
      </w:r>
    </w:p>
    <w:p w:rsidR="00F75102" w:rsidRPr="00F75102" w:rsidRDefault="00F75102" w:rsidP="00F75102">
      <w:pPr>
        <w:pStyle w:val="ListParagraph"/>
        <w:numPr>
          <w:ilvl w:val="0"/>
          <w:numId w:val="1"/>
        </w:numPr>
        <w:rPr>
          <w:sz w:val="28"/>
        </w:rPr>
      </w:pPr>
      <w:r w:rsidRPr="00F75102">
        <w:rPr>
          <w:sz w:val="28"/>
        </w:rPr>
        <w:t xml:space="preserve">The British study units have been planned in chronological order: Pre-History, Romans, Anglo-Saxons (before Alfred the Great), Anglo-Saxons (struggles), </w:t>
      </w:r>
      <w:r>
        <w:rPr>
          <w:sz w:val="28"/>
        </w:rPr>
        <w:t xml:space="preserve">and </w:t>
      </w:r>
      <w:r w:rsidRPr="00F75102">
        <w:rPr>
          <w:sz w:val="28"/>
        </w:rPr>
        <w:t>a study of British history after 1066.</w:t>
      </w:r>
    </w:p>
    <w:p w:rsidR="005F232A" w:rsidRDefault="00F75102" w:rsidP="00F75102">
      <w:pPr>
        <w:pStyle w:val="ListParagraph"/>
        <w:numPr>
          <w:ilvl w:val="0"/>
          <w:numId w:val="1"/>
        </w:numPr>
        <w:rPr>
          <w:sz w:val="28"/>
        </w:rPr>
      </w:pPr>
      <w:r w:rsidRPr="00F75102">
        <w:rPr>
          <w:sz w:val="28"/>
        </w:rPr>
        <w:t xml:space="preserve">The local history study has been left off the map; schools can either plan a separate unit or incorporate it with one of the British history units. </w:t>
      </w:r>
    </w:p>
    <w:p w:rsidR="00F75102" w:rsidRPr="00F75102" w:rsidRDefault="005F232A" w:rsidP="00F75102">
      <w:pPr>
        <w:pStyle w:val="ListParagraph"/>
        <w:numPr>
          <w:ilvl w:val="0"/>
          <w:numId w:val="1"/>
        </w:numPr>
        <w:rPr>
          <w:sz w:val="28"/>
        </w:rPr>
      </w:pPr>
      <w:r>
        <w:rPr>
          <w:sz w:val="28"/>
        </w:rPr>
        <w:t xml:space="preserve">I’ve put the ‘open British history study’ at the end of Year 6 </w:t>
      </w:r>
      <w:r w:rsidR="004C3912">
        <w:rPr>
          <w:sz w:val="28"/>
        </w:rPr>
        <w:t>because it makes sense</w:t>
      </w:r>
      <w:r>
        <w:rPr>
          <w:sz w:val="28"/>
        </w:rPr>
        <w:t xml:space="preserve"> chronol</w:t>
      </w:r>
      <w:r w:rsidR="004C3912">
        <w:rPr>
          <w:sz w:val="28"/>
        </w:rPr>
        <w:t>ogically and because it gi</w:t>
      </w:r>
      <w:r>
        <w:rPr>
          <w:sz w:val="28"/>
        </w:rPr>
        <w:t>ve</w:t>
      </w:r>
      <w:r w:rsidR="004C3912">
        <w:rPr>
          <w:sz w:val="28"/>
        </w:rPr>
        <w:t>s</w:t>
      </w:r>
      <w:r>
        <w:rPr>
          <w:sz w:val="28"/>
        </w:rPr>
        <w:t xml:space="preserve"> Year 6 </w:t>
      </w:r>
      <w:r w:rsidR="004C3912">
        <w:rPr>
          <w:sz w:val="28"/>
        </w:rPr>
        <w:t>teachers the flexibility to plan</w:t>
      </w:r>
      <w:r>
        <w:rPr>
          <w:sz w:val="28"/>
        </w:rPr>
        <w:t xml:space="preserve"> in and around </w:t>
      </w:r>
      <w:r w:rsidR="004C3912">
        <w:rPr>
          <w:sz w:val="28"/>
        </w:rPr>
        <w:t xml:space="preserve">the </w:t>
      </w:r>
      <w:proofErr w:type="spellStart"/>
      <w:r>
        <w:rPr>
          <w:sz w:val="28"/>
        </w:rPr>
        <w:t>SATs</w:t>
      </w:r>
      <w:proofErr w:type="spellEnd"/>
      <w:r>
        <w:rPr>
          <w:sz w:val="28"/>
        </w:rPr>
        <w:t>.</w:t>
      </w:r>
    </w:p>
    <w:p w:rsidR="00F75102" w:rsidRPr="00F75102" w:rsidRDefault="005F232A" w:rsidP="00F75102">
      <w:pPr>
        <w:pStyle w:val="ListParagraph"/>
        <w:numPr>
          <w:ilvl w:val="0"/>
          <w:numId w:val="1"/>
        </w:numPr>
        <w:rPr>
          <w:sz w:val="28"/>
        </w:rPr>
      </w:pPr>
      <w:r>
        <w:rPr>
          <w:sz w:val="28"/>
        </w:rPr>
        <w:t xml:space="preserve">The three ‘non-British’ units </w:t>
      </w:r>
      <w:r w:rsidR="00F75102" w:rsidRPr="00F75102">
        <w:rPr>
          <w:sz w:val="28"/>
        </w:rPr>
        <w:t xml:space="preserve">have </w:t>
      </w:r>
      <w:r>
        <w:rPr>
          <w:sz w:val="28"/>
        </w:rPr>
        <w:t xml:space="preserve">been </w:t>
      </w:r>
      <w:r w:rsidR="00F75102" w:rsidRPr="00F75102">
        <w:rPr>
          <w:sz w:val="28"/>
        </w:rPr>
        <w:t xml:space="preserve">mapped </w:t>
      </w:r>
      <w:r w:rsidR="004C3912">
        <w:rPr>
          <w:sz w:val="28"/>
        </w:rPr>
        <w:t>with</w:t>
      </w:r>
      <w:r w:rsidR="00F75102" w:rsidRPr="00F75102">
        <w:rPr>
          <w:sz w:val="28"/>
        </w:rPr>
        <w:t xml:space="preserve"> the Ancient Egyptians</w:t>
      </w:r>
      <w:r w:rsidR="004C3912">
        <w:rPr>
          <w:sz w:val="28"/>
        </w:rPr>
        <w:t xml:space="preserve"> first, chronologically this makes sense (although of course it depends on school’s choosing Ancient Egypt as the subject of study), it also makes sense for other reasons (although these are subjective)</w:t>
      </w:r>
      <w:r w:rsidR="00F75102" w:rsidRPr="00F75102">
        <w:rPr>
          <w:sz w:val="28"/>
        </w:rPr>
        <w:t>:</w:t>
      </w:r>
    </w:p>
    <w:p w:rsidR="00F75102" w:rsidRPr="00F75102" w:rsidRDefault="00F75102" w:rsidP="00F75102">
      <w:pPr>
        <w:pStyle w:val="ListParagraph"/>
        <w:numPr>
          <w:ilvl w:val="0"/>
          <w:numId w:val="2"/>
        </w:numPr>
        <w:rPr>
          <w:sz w:val="28"/>
        </w:rPr>
      </w:pPr>
      <w:r w:rsidRPr="00F75102">
        <w:rPr>
          <w:sz w:val="28"/>
        </w:rPr>
        <w:t>The cultural ‘story’ of Ancient Egypt revolves around the myth of the weighing of the heart and the legend of Seth and Osiris. These are both accessible to children of Year 4.</w:t>
      </w:r>
    </w:p>
    <w:p w:rsidR="00F75102" w:rsidRPr="00F75102" w:rsidRDefault="00F75102" w:rsidP="00F75102">
      <w:pPr>
        <w:pStyle w:val="ListParagraph"/>
        <w:numPr>
          <w:ilvl w:val="0"/>
          <w:numId w:val="2"/>
        </w:numPr>
        <w:rPr>
          <w:sz w:val="28"/>
        </w:rPr>
      </w:pPr>
      <w:r w:rsidRPr="00F75102">
        <w:rPr>
          <w:sz w:val="28"/>
        </w:rPr>
        <w:t xml:space="preserve">The iconography of wall paintings and hieroglyphics seems to hold a fascination with young children and along with the </w:t>
      </w:r>
      <w:bookmarkStart w:id="0" w:name="OLE_LINK10"/>
      <w:r w:rsidRPr="00F75102">
        <w:rPr>
          <w:sz w:val="28"/>
        </w:rPr>
        <w:t xml:space="preserve">pantheon </w:t>
      </w:r>
      <w:bookmarkEnd w:id="0"/>
      <w:r w:rsidRPr="00F75102">
        <w:rPr>
          <w:sz w:val="28"/>
        </w:rPr>
        <w:t>of Egyptian Gods seems more accessible than the</w:t>
      </w:r>
      <w:r w:rsidR="005F232A">
        <w:rPr>
          <w:sz w:val="28"/>
        </w:rPr>
        <w:t>ir</w:t>
      </w:r>
      <w:r w:rsidRPr="00F75102">
        <w:rPr>
          <w:sz w:val="28"/>
        </w:rPr>
        <w:t xml:space="preserve"> Ancient Greek counter-parts.</w:t>
      </w:r>
    </w:p>
    <w:p w:rsidR="005F232A" w:rsidRDefault="00F75102" w:rsidP="00F75102">
      <w:pPr>
        <w:pStyle w:val="ListParagraph"/>
        <w:numPr>
          <w:ilvl w:val="0"/>
          <w:numId w:val="2"/>
        </w:numPr>
        <w:rPr>
          <w:sz w:val="28"/>
        </w:rPr>
      </w:pPr>
      <w:r w:rsidRPr="00F75102">
        <w:rPr>
          <w:sz w:val="28"/>
        </w:rPr>
        <w:t>The history study of Ancient Greece</w:t>
      </w:r>
      <w:r w:rsidR="005F232A">
        <w:rPr>
          <w:sz w:val="28"/>
        </w:rPr>
        <w:t xml:space="preserve"> </w:t>
      </w:r>
      <w:r w:rsidRPr="00F75102">
        <w:rPr>
          <w:sz w:val="28"/>
        </w:rPr>
        <w:t>is focused on the achievements and influences of it</w:t>
      </w:r>
      <w:r w:rsidR="005F232A">
        <w:rPr>
          <w:sz w:val="28"/>
        </w:rPr>
        <w:t>’</w:t>
      </w:r>
      <w:r w:rsidRPr="00F75102">
        <w:rPr>
          <w:sz w:val="28"/>
        </w:rPr>
        <w:t>s great thinkers, architects</w:t>
      </w:r>
      <w:r w:rsidR="005F232A">
        <w:rPr>
          <w:sz w:val="28"/>
        </w:rPr>
        <w:t>,</w:t>
      </w:r>
      <w:r w:rsidRPr="00F75102">
        <w:rPr>
          <w:sz w:val="28"/>
        </w:rPr>
        <w:t xml:space="preserve"> and </w:t>
      </w:r>
      <w:proofErr w:type="gramStart"/>
      <w:r w:rsidRPr="00F75102">
        <w:rPr>
          <w:sz w:val="28"/>
        </w:rPr>
        <w:t>story-tellers</w:t>
      </w:r>
      <w:proofErr w:type="gramEnd"/>
      <w:r w:rsidRPr="00F75102">
        <w:rPr>
          <w:sz w:val="28"/>
        </w:rPr>
        <w:t>. These (</w:t>
      </w:r>
      <w:r w:rsidR="008F6273">
        <w:rPr>
          <w:sz w:val="28"/>
        </w:rPr>
        <w:t>it could be argued</w:t>
      </w:r>
      <w:r w:rsidRPr="00F75102">
        <w:rPr>
          <w:sz w:val="28"/>
        </w:rPr>
        <w:t>) are a much more demanding subject</w:t>
      </w:r>
      <w:r w:rsidR="005F232A">
        <w:rPr>
          <w:sz w:val="28"/>
        </w:rPr>
        <w:t xml:space="preserve">s and probably </w:t>
      </w:r>
      <w:r w:rsidR="008F6273">
        <w:rPr>
          <w:sz w:val="28"/>
        </w:rPr>
        <w:t>better understood by</w:t>
      </w:r>
      <w:r w:rsidR="005F232A">
        <w:rPr>
          <w:sz w:val="28"/>
        </w:rPr>
        <w:t xml:space="preserve"> older children</w:t>
      </w:r>
    </w:p>
    <w:p w:rsidR="009F750A" w:rsidRDefault="005F232A" w:rsidP="005F232A">
      <w:pPr>
        <w:pStyle w:val="ListParagraph"/>
        <w:numPr>
          <w:ilvl w:val="0"/>
          <w:numId w:val="2"/>
        </w:numPr>
        <w:rPr>
          <w:sz w:val="28"/>
        </w:rPr>
      </w:pPr>
      <w:r>
        <w:rPr>
          <w:sz w:val="28"/>
        </w:rPr>
        <w:t xml:space="preserve">I’ve put the ‘non-European society’ study at the end of year </w:t>
      </w:r>
      <w:r w:rsidR="008F6273">
        <w:rPr>
          <w:sz w:val="28"/>
        </w:rPr>
        <w:t>5</w:t>
      </w:r>
      <w:r>
        <w:rPr>
          <w:sz w:val="28"/>
        </w:rPr>
        <w:t xml:space="preserve"> </w:t>
      </w:r>
      <w:r w:rsidR="008F6273">
        <w:rPr>
          <w:sz w:val="28"/>
        </w:rPr>
        <w:t xml:space="preserve">as it seems the best compromise, but of course it could fit in elsewhere. </w:t>
      </w:r>
    </w:p>
    <w:p w:rsidR="009F750A" w:rsidRDefault="009F750A" w:rsidP="009F750A">
      <w:pPr>
        <w:rPr>
          <w:sz w:val="28"/>
        </w:rPr>
      </w:pPr>
    </w:p>
    <w:p w:rsidR="009F750A" w:rsidRDefault="009F750A" w:rsidP="009F750A">
      <w:pPr>
        <w:rPr>
          <w:sz w:val="28"/>
        </w:rPr>
      </w:pPr>
    </w:p>
    <w:tbl>
      <w:tblPr>
        <w:tblW w:w="14176" w:type="dxa"/>
        <w:tblInd w:w="-176" w:type="dxa"/>
        <w:tblLook w:val="0000"/>
      </w:tblPr>
      <w:tblGrid>
        <w:gridCol w:w="3693"/>
        <w:gridCol w:w="3422"/>
        <w:gridCol w:w="3422"/>
        <w:gridCol w:w="3639"/>
      </w:tblGrid>
      <w:tr w:rsidR="00EB49C6" w:rsidRPr="00EB49C6" w:rsidTr="00EB49C6">
        <w:trPr>
          <w:trHeight w:val="368"/>
        </w:trPr>
        <w:tc>
          <w:tcPr>
            <w:tcW w:w="3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9C6" w:rsidRPr="00EB49C6" w:rsidRDefault="00EB49C6" w:rsidP="00EB49C6">
            <w:pPr>
              <w:jc w:val="center"/>
              <w:rPr>
                <w:rFonts w:ascii="Verdana" w:hAnsi="Verdana"/>
                <w:b/>
                <w:bCs/>
              </w:rPr>
            </w:pPr>
            <w:r w:rsidRPr="00EB49C6">
              <w:rPr>
                <w:rFonts w:ascii="Verdana" w:hAnsi="Verdana"/>
                <w:b/>
                <w:bCs/>
              </w:rPr>
              <w:t>Yr.3</w:t>
            </w:r>
          </w:p>
        </w:tc>
        <w:tc>
          <w:tcPr>
            <w:tcW w:w="3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9C6" w:rsidRPr="00EB49C6" w:rsidRDefault="00EB49C6" w:rsidP="00EB49C6">
            <w:pPr>
              <w:jc w:val="center"/>
              <w:rPr>
                <w:rFonts w:ascii="Verdana" w:hAnsi="Verdana"/>
                <w:b/>
                <w:bCs/>
              </w:rPr>
            </w:pPr>
            <w:r w:rsidRPr="00EB49C6">
              <w:rPr>
                <w:rFonts w:ascii="Verdana" w:hAnsi="Verdana"/>
                <w:b/>
                <w:bCs/>
              </w:rPr>
              <w:t>Yr.4</w:t>
            </w:r>
          </w:p>
        </w:tc>
        <w:tc>
          <w:tcPr>
            <w:tcW w:w="34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9C6" w:rsidRPr="00EB49C6" w:rsidRDefault="00EB49C6" w:rsidP="00EB49C6">
            <w:pPr>
              <w:jc w:val="center"/>
              <w:rPr>
                <w:rFonts w:ascii="Verdana" w:hAnsi="Verdana"/>
                <w:b/>
                <w:bCs/>
              </w:rPr>
            </w:pPr>
            <w:r w:rsidRPr="00EB49C6">
              <w:rPr>
                <w:rFonts w:ascii="Verdana" w:hAnsi="Verdana"/>
                <w:b/>
                <w:bCs/>
              </w:rPr>
              <w:t>Yr.5</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49C6" w:rsidRPr="00EB49C6" w:rsidRDefault="00EB49C6" w:rsidP="00EB49C6">
            <w:pPr>
              <w:jc w:val="center"/>
              <w:rPr>
                <w:rFonts w:ascii="Verdana" w:hAnsi="Verdana"/>
                <w:b/>
                <w:bCs/>
              </w:rPr>
            </w:pPr>
            <w:r w:rsidRPr="00EB49C6">
              <w:rPr>
                <w:rFonts w:ascii="Verdana" w:hAnsi="Verdana"/>
                <w:b/>
                <w:bCs/>
              </w:rPr>
              <w:t>Yr.6</w:t>
            </w:r>
          </w:p>
        </w:tc>
      </w:tr>
      <w:tr w:rsidR="00EB49C6" w:rsidRPr="00EB49C6" w:rsidTr="00EB49C6">
        <w:trPr>
          <w:trHeight w:val="2762"/>
        </w:trPr>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EB49C6" w:rsidRPr="00EB49C6" w:rsidRDefault="00EB49C6" w:rsidP="00EB49C6">
            <w:pPr>
              <w:rPr>
                <w:rFonts w:ascii="Verdana" w:hAnsi="Verdana"/>
                <w:b/>
                <w:bCs/>
                <w:sz w:val="18"/>
                <w:szCs w:val="18"/>
              </w:rPr>
            </w:pPr>
            <w:r w:rsidRPr="00EB49C6">
              <w:rPr>
                <w:rFonts w:ascii="Verdana" w:hAnsi="Verdana"/>
                <w:b/>
                <w:bCs/>
                <w:sz w:val="18"/>
                <w:szCs w:val="18"/>
              </w:rPr>
              <w:t xml:space="preserve">Changes in Britain from the Stone Age to the Iron Age </w:t>
            </w:r>
            <w:r w:rsidRPr="00EB49C6">
              <w:rPr>
                <w:rFonts w:ascii="Verdana" w:hAnsi="Verdana"/>
                <w:b/>
                <w:bCs/>
                <w:sz w:val="18"/>
                <w:szCs w:val="18"/>
              </w:rPr>
              <w:br/>
            </w:r>
            <w:r w:rsidRPr="00EB49C6">
              <w:rPr>
                <w:rFonts w:ascii="Verdana" w:hAnsi="Verdana"/>
                <w:sz w:val="18"/>
                <w:szCs w:val="18"/>
              </w:rPr>
              <w:t xml:space="preserve">This could include: </w:t>
            </w:r>
            <w:r w:rsidRPr="00EB49C6">
              <w:rPr>
                <w:rFonts w:ascii="Verdana" w:hAnsi="Verdana"/>
                <w:sz w:val="18"/>
                <w:szCs w:val="18"/>
              </w:rPr>
              <w:br/>
              <w:t xml:space="preserve">- late Neolithic hunter-gatherers and early farmers, e.g. </w:t>
            </w:r>
            <w:proofErr w:type="spellStart"/>
            <w:r w:rsidRPr="00EB49C6">
              <w:rPr>
                <w:rFonts w:ascii="Verdana" w:hAnsi="Verdana"/>
                <w:sz w:val="18"/>
                <w:szCs w:val="18"/>
              </w:rPr>
              <w:t>Skara</w:t>
            </w:r>
            <w:proofErr w:type="spellEnd"/>
            <w:r w:rsidRPr="00EB49C6">
              <w:rPr>
                <w:rFonts w:ascii="Verdana" w:hAnsi="Verdana"/>
                <w:sz w:val="18"/>
                <w:szCs w:val="18"/>
              </w:rPr>
              <w:t xml:space="preserve"> Brae  - Bronze Age religion, technology and travel, e.g. Stonehenge</w:t>
            </w:r>
            <w:r w:rsidRPr="00EB49C6">
              <w:rPr>
                <w:rFonts w:ascii="Verdana" w:hAnsi="Verdana"/>
                <w:sz w:val="18"/>
                <w:szCs w:val="18"/>
              </w:rPr>
              <w:br/>
              <w:t>- Iron Age hill forts: tribal kingdoms, farming, art and culture</w:t>
            </w:r>
            <w:r w:rsidRPr="00EB49C6">
              <w:rPr>
                <w:rFonts w:ascii="Verdana" w:hAnsi="Verdana"/>
                <w:b/>
                <w:bCs/>
                <w:sz w:val="18"/>
                <w:szCs w:val="18"/>
              </w:rPr>
              <w:t xml:space="preserve"> </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EB49C6" w:rsidRPr="00EB49C6" w:rsidRDefault="00EB49C6" w:rsidP="00EB49C6">
            <w:pPr>
              <w:rPr>
                <w:rFonts w:ascii="Verdana" w:hAnsi="Verdana"/>
                <w:b/>
                <w:bCs/>
                <w:sz w:val="18"/>
                <w:szCs w:val="18"/>
              </w:rPr>
            </w:pPr>
            <w:r w:rsidRPr="00EB49C6">
              <w:rPr>
                <w:rFonts w:ascii="Verdana" w:hAnsi="Verdana"/>
                <w:b/>
                <w:bCs/>
                <w:sz w:val="18"/>
                <w:szCs w:val="18"/>
              </w:rPr>
              <w:t xml:space="preserve">Britain’s settlement by Anglo-Saxons and Scots </w:t>
            </w:r>
            <w:r w:rsidRPr="00EB49C6">
              <w:rPr>
                <w:rFonts w:ascii="Verdana" w:hAnsi="Verdana"/>
                <w:sz w:val="18"/>
                <w:szCs w:val="18"/>
              </w:rPr>
              <w:t xml:space="preserve">This could include: </w:t>
            </w:r>
            <w:r w:rsidRPr="00EB49C6">
              <w:rPr>
                <w:rFonts w:ascii="Verdana" w:hAnsi="Verdana"/>
                <w:sz w:val="18"/>
                <w:szCs w:val="18"/>
              </w:rPr>
              <w:br/>
              <w:t xml:space="preserve">Roman withdrawal from Britain in c. AD 410 and the fall of the western Roman Empire </w:t>
            </w:r>
            <w:r w:rsidRPr="00EB49C6">
              <w:rPr>
                <w:rFonts w:ascii="Verdana" w:hAnsi="Verdana"/>
                <w:sz w:val="18"/>
                <w:szCs w:val="18"/>
              </w:rPr>
              <w:br/>
              <w:t xml:space="preserve">Scots invasions from Ireland to north Britain (now Scotland) </w:t>
            </w:r>
            <w:r w:rsidRPr="00EB49C6">
              <w:rPr>
                <w:rFonts w:ascii="Verdana" w:hAnsi="Verdana"/>
                <w:sz w:val="18"/>
                <w:szCs w:val="18"/>
              </w:rPr>
              <w:br/>
              <w:t xml:space="preserve">Anglo-Saxon invasions, settlements and kingdoms: place names and </w:t>
            </w:r>
            <w:r w:rsidRPr="00EB49C6">
              <w:rPr>
                <w:rFonts w:ascii="Verdana" w:hAnsi="Verdana"/>
                <w:sz w:val="18"/>
                <w:szCs w:val="18"/>
              </w:rPr>
              <w:br/>
              <w:t xml:space="preserve">village life </w:t>
            </w:r>
            <w:r w:rsidRPr="00EB49C6">
              <w:rPr>
                <w:rFonts w:ascii="Verdana" w:hAnsi="Verdana"/>
                <w:sz w:val="18"/>
                <w:szCs w:val="18"/>
              </w:rPr>
              <w:br/>
              <w:t xml:space="preserve">Anglo-Saxon art and culture </w:t>
            </w:r>
            <w:r w:rsidRPr="00EB49C6">
              <w:rPr>
                <w:rFonts w:ascii="Verdana" w:hAnsi="Verdana"/>
                <w:sz w:val="18"/>
                <w:szCs w:val="18"/>
              </w:rPr>
              <w:br/>
              <w:t xml:space="preserve">Christian conversion – Canterbury, Iona and </w:t>
            </w:r>
            <w:proofErr w:type="spellStart"/>
            <w:r w:rsidRPr="00EB49C6">
              <w:rPr>
                <w:rFonts w:ascii="Verdana" w:hAnsi="Verdana"/>
                <w:sz w:val="18"/>
                <w:szCs w:val="18"/>
              </w:rPr>
              <w:t>Lindisfarne</w:t>
            </w:r>
            <w:proofErr w:type="spellEnd"/>
            <w:r w:rsidRPr="00EB49C6">
              <w:rPr>
                <w:rFonts w:ascii="Verdana" w:hAnsi="Verdana"/>
                <w:sz w:val="18"/>
                <w:szCs w:val="20"/>
              </w:rPr>
              <w:t xml:space="preserve"> </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EB49C6" w:rsidRPr="00EB49C6" w:rsidRDefault="00EB49C6" w:rsidP="00EB49C6">
            <w:pPr>
              <w:rPr>
                <w:rFonts w:ascii="Verdana" w:hAnsi="Verdana"/>
                <w:b/>
                <w:bCs/>
                <w:sz w:val="18"/>
                <w:szCs w:val="18"/>
              </w:rPr>
            </w:pPr>
            <w:r w:rsidRPr="00EB49C6">
              <w:rPr>
                <w:rFonts w:ascii="Verdana" w:hAnsi="Verdana"/>
                <w:b/>
                <w:bCs/>
                <w:sz w:val="18"/>
                <w:szCs w:val="18"/>
              </w:rPr>
              <w:t xml:space="preserve">Viking and Anglo-Saxon struggle for the Kingdom of England to the time of Edward the Confessor </w:t>
            </w:r>
            <w:r w:rsidRPr="00EB49C6">
              <w:rPr>
                <w:rFonts w:ascii="Verdana" w:hAnsi="Verdana"/>
                <w:b/>
                <w:bCs/>
                <w:sz w:val="18"/>
                <w:szCs w:val="18"/>
              </w:rPr>
              <w:br/>
            </w:r>
            <w:r w:rsidRPr="00EB49C6">
              <w:rPr>
                <w:rFonts w:ascii="Verdana" w:hAnsi="Verdana"/>
                <w:sz w:val="18"/>
                <w:szCs w:val="18"/>
              </w:rPr>
              <w:t xml:space="preserve">This could include: </w:t>
            </w:r>
            <w:r w:rsidRPr="00EB49C6">
              <w:rPr>
                <w:rFonts w:ascii="Verdana" w:hAnsi="Verdana"/>
                <w:sz w:val="18"/>
                <w:szCs w:val="18"/>
              </w:rPr>
              <w:br/>
              <w:t>- Viking raids and invasion</w:t>
            </w:r>
            <w:r w:rsidRPr="00EB49C6">
              <w:rPr>
                <w:rFonts w:ascii="Verdana" w:hAnsi="Verdana"/>
                <w:sz w:val="18"/>
                <w:szCs w:val="18"/>
              </w:rPr>
              <w:br/>
              <w:t xml:space="preserve">- resistance by Alfred the Great and Athelstan, first king of England - further Viking invasions and </w:t>
            </w:r>
            <w:proofErr w:type="spellStart"/>
            <w:r w:rsidRPr="00EB49C6">
              <w:rPr>
                <w:rFonts w:ascii="Verdana" w:hAnsi="Verdana"/>
                <w:sz w:val="18"/>
                <w:szCs w:val="18"/>
              </w:rPr>
              <w:t>Danegeld</w:t>
            </w:r>
            <w:proofErr w:type="spellEnd"/>
            <w:r w:rsidRPr="00EB49C6">
              <w:rPr>
                <w:rFonts w:ascii="Verdana" w:hAnsi="Verdana"/>
                <w:sz w:val="18"/>
                <w:szCs w:val="18"/>
              </w:rPr>
              <w:br/>
              <w:t>- Anglo-Saxon laws and justice</w:t>
            </w:r>
            <w:r w:rsidRPr="00EB49C6">
              <w:rPr>
                <w:rFonts w:ascii="Verdana" w:hAnsi="Verdana"/>
                <w:sz w:val="18"/>
                <w:szCs w:val="18"/>
              </w:rPr>
              <w:br/>
              <w:t>- Edward the Confessor and his death in 1066</w:t>
            </w:r>
            <w:r w:rsidRPr="00EB49C6">
              <w:rPr>
                <w:rFonts w:ascii="Verdana" w:hAnsi="Verdana"/>
                <w:b/>
                <w:bCs/>
                <w:sz w:val="18"/>
                <w:szCs w:val="18"/>
              </w:rPr>
              <w:t xml:space="preserve"> </w:t>
            </w:r>
          </w:p>
        </w:tc>
        <w:tc>
          <w:tcPr>
            <w:tcW w:w="3639" w:type="dxa"/>
            <w:tcBorders>
              <w:top w:val="single" w:sz="4" w:space="0" w:color="auto"/>
              <w:left w:val="single" w:sz="4" w:space="0" w:color="auto"/>
              <w:bottom w:val="single" w:sz="4" w:space="0" w:color="auto"/>
              <w:right w:val="single" w:sz="4" w:space="0" w:color="auto"/>
            </w:tcBorders>
            <w:shd w:val="clear" w:color="auto" w:fill="auto"/>
            <w:vAlign w:val="center"/>
          </w:tcPr>
          <w:p w:rsidR="00EB49C6" w:rsidRPr="00EB49C6" w:rsidRDefault="00EB49C6" w:rsidP="00EB49C6">
            <w:pPr>
              <w:rPr>
                <w:rFonts w:ascii="Verdana" w:hAnsi="Verdana"/>
                <w:b/>
                <w:bCs/>
                <w:sz w:val="18"/>
                <w:szCs w:val="20"/>
              </w:rPr>
            </w:pPr>
            <w:r w:rsidRPr="00EB49C6">
              <w:rPr>
                <w:rFonts w:ascii="Verdana" w:hAnsi="Verdana"/>
                <w:b/>
                <w:bCs/>
                <w:sz w:val="18"/>
                <w:szCs w:val="20"/>
              </w:rPr>
              <w:t xml:space="preserve">Ancient Greece </w:t>
            </w:r>
            <w:r w:rsidRPr="00EB49C6">
              <w:rPr>
                <w:rFonts w:ascii="Verdana" w:hAnsi="Verdana"/>
                <w:sz w:val="18"/>
                <w:szCs w:val="18"/>
              </w:rPr>
              <w:t xml:space="preserve">– a study of Greek life and achievements and their influence on the western world </w:t>
            </w:r>
          </w:p>
        </w:tc>
      </w:tr>
      <w:tr w:rsidR="00EB49C6" w:rsidRPr="00EB49C6" w:rsidTr="00EB49C6">
        <w:trPr>
          <w:trHeight w:val="469"/>
        </w:trPr>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EB49C6" w:rsidRPr="00EB49C6" w:rsidRDefault="00EB49C6" w:rsidP="00EB49C6">
            <w:pPr>
              <w:rPr>
                <w:rFonts w:ascii="Verdana" w:hAnsi="Verdana"/>
                <w:b/>
                <w:bCs/>
                <w:sz w:val="18"/>
                <w:szCs w:val="18"/>
              </w:rPr>
            </w:pPr>
            <w:r w:rsidRPr="00EB49C6">
              <w:rPr>
                <w:rFonts w:ascii="Verdana" w:hAnsi="Verdana"/>
                <w:b/>
                <w:bCs/>
                <w:sz w:val="18"/>
                <w:szCs w:val="18"/>
              </w:rPr>
              <w:t> </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EB49C6" w:rsidRPr="00EB49C6" w:rsidRDefault="00EB49C6" w:rsidP="00EB49C6">
            <w:pPr>
              <w:rPr>
                <w:rFonts w:ascii="Verdana" w:hAnsi="Verdana"/>
                <w:b/>
                <w:bCs/>
                <w:sz w:val="18"/>
                <w:szCs w:val="18"/>
              </w:rPr>
            </w:pPr>
            <w:r w:rsidRPr="00EB49C6">
              <w:rPr>
                <w:rFonts w:ascii="Verdana" w:hAnsi="Verdana"/>
                <w:b/>
                <w:bCs/>
                <w:sz w:val="18"/>
                <w:szCs w:val="18"/>
              </w:rPr>
              <w:t> </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EB49C6" w:rsidRPr="00EB49C6" w:rsidRDefault="00EB49C6" w:rsidP="00EB49C6">
            <w:pPr>
              <w:rPr>
                <w:rFonts w:ascii="Verdana" w:hAnsi="Verdana"/>
                <w:b/>
                <w:bCs/>
                <w:sz w:val="18"/>
                <w:szCs w:val="18"/>
              </w:rPr>
            </w:pPr>
            <w:r w:rsidRPr="00EB49C6">
              <w:rPr>
                <w:rFonts w:ascii="Verdana" w:hAnsi="Verdana"/>
                <w:b/>
                <w:bCs/>
                <w:sz w:val="18"/>
                <w:szCs w:val="18"/>
              </w:rPr>
              <w:t> </w:t>
            </w:r>
          </w:p>
        </w:tc>
        <w:tc>
          <w:tcPr>
            <w:tcW w:w="3639" w:type="dxa"/>
            <w:tcBorders>
              <w:top w:val="single" w:sz="4" w:space="0" w:color="auto"/>
              <w:left w:val="single" w:sz="4" w:space="0" w:color="auto"/>
              <w:bottom w:val="single" w:sz="4" w:space="0" w:color="auto"/>
              <w:right w:val="single" w:sz="4" w:space="0" w:color="auto"/>
            </w:tcBorders>
            <w:shd w:val="clear" w:color="auto" w:fill="auto"/>
            <w:vAlign w:val="center"/>
          </w:tcPr>
          <w:p w:rsidR="00EB49C6" w:rsidRPr="00EB49C6" w:rsidRDefault="00EB49C6" w:rsidP="00EB49C6">
            <w:pPr>
              <w:rPr>
                <w:rFonts w:ascii="Verdana" w:hAnsi="Verdana"/>
                <w:b/>
                <w:bCs/>
                <w:sz w:val="18"/>
                <w:szCs w:val="18"/>
              </w:rPr>
            </w:pPr>
            <w:r w:rsidRPr="00EB49C6">
              <w:rPr>
                <w:rFonts w:ascii="Verdana" w:hAnsi="Verdana"/>
                <w:b/>
                <w:bCs/>
                <w:sz w:val="18"/>
                <w:szCs w:val="18"/>
              </w:rPr>
              <w:t> </w:t>
            </w:r>
          </w:p>
        </w:tc>
      </w:tr>
      <w:tr w:rsidR="00EB49C6" w:rsidRPr="00EB49C6" w:rsidTr="00EB49C6">
        <w:trPr>
          <w:trHeight w:val="4134"/>
        </w:trPr>
        <w:tc>
          <w:tcPr>
            <w:tcW w:w="3693" w:type="dxa"/>
            <w:tcBorders>
              <w:top w:val="single" w:sz="4" w:space="0" w:color="auto"/>
              <w:left w:val="single" w:sz="4" w:space="0" w:color="auto"/>
              <w:bottom w:val="single" w:sz="4" w:space="0" w:color="auto"/>
              <w:right w:val="single" w:sz="4" w:space="0" w:color="auto"/>
            </w:tcBorders>
            <w:shd w:val="clear" w:color="auto" w:fill="auto"/>
            <w:vAlign w:val="center"/>
          </w:tcPr>
          <w:p w:rsidR="00EB49C6" w:rsidRPr="00EB49C6" w:rsidRDefault="00EB49C6" w:rsidP="00EB49C6">
            <w:pPr>
              <w:rPr>
                <w:rFonts w:ascii="Verdana" w:hAnsi="Verdana"/>
                <w:b/>
                <w:bCs/>
                <w:sz w:val="18"/>
                <w:szCs w:val="18"/>
              </w:rPr>
            </w:pPr>
            <w:r w:rsidRPr="00EB49C6">
              <w:rPr>
                <w:rFonts w:ascii="Verdana" w:hAnsi="Verdana"/>
                <w:b/>
                <w:bCs/>
                <w:sz w:val="18"/>
                <w:szCs w:val="18"/>
              </w:rPr>
              <w:t xml:space="preserve">Roman Empire and its impact on Britain </w:t>
            </w:r>
            <w:r w:rsidRPr="00EB49C6">
              <w:rPr>
                <w:rFonts w:ascii="Verdana" w:hAnsi="Verdana"/>
                <w:sz w:val="18"/>
                <w:szCs w:val="18"/>
              </w:rPr>
              <w:t xml:space="preserve">This could include: </w:t>
            </w:r>
            <w:r w:rsidRPr="00EB49C6">
              <w:rPr>
                <w:rFonts w:ascii="Verdana" w:hAnsi="Verdana"/>
                <w:sz w:val="18"/>
                <w:szCs w:val="18"/>
              </w:rPr>
              <w:br/>
              <w:t xml:space="preserve">- Julius Caesar’s attempted invasion in 55-54 BC </w:t>
            </w:r>
            <w:r w:rsidRPr="00EB49C6">
              <w:rPr>
                <w:rFonts w:ascii="Verdana" w:hAnsi="Verdana"/>
                <w:sz w:val="18"/>
                <w:szCs w:val="18"/>
              </w:rPr>
              <w:br/>
              <w:t xml:space="preserve">- the Roman Empire by AD 42 and the power of its army </w:t>
            </w:r>
            <w:r w:rsidRPr="00EB49C6">
              <w:rPr>
                <w:rFonts w:ascii="Verdana" w:hAnsi="Verdana"/>
                <w:sz w:val="18"/>
                <w:szCs w:val="18"/>
              </w:rPr>
              <w:br/>
              <w:t xml:space="preserve">- successful invasion by Claudius and conquest, including Hadrian’s Wall </w:t>
            </w:r>
            <w:r w:rsidRPr="00EB49C6">
              <w:rPr>
                <w:rFonts w:ascii="Verdana" w:hAnsi="Verdana"/>
                <w:sz w:val="18"/>
                <w:szCs w:val="18"/>
              </w:rPr>
              <w:br/>
              <w:t xml:space="preserve">- British resistance, e.g. </w:t>
            </w:r>
            <w:proofErr w:type="spellStart"/>
            <w:r w:rsidRPr="00EB49C6">
              <w:rPr>
                <w:rFonts w:ascii="Verdana" w:hAnsi="Verdana"/>
                <w:sz w:val="18"/>
                <w:szCs w:val="18"/>
              </w:rPr>
              <w:t>Boudica</w:t>
            </w:r>
            <w:proofErr w:type="spellEnd"/>
            <w:r w:rsidRPr="00EB49C6">
              <w:rPr>
                <w:rFonts w:ascii="Verdana" w:hAnsi="Verdana"/>
                <w:sz w:val="18"/>
                <w:szCs w:val="18"/>
              </w:rPr>
              <w:t xml:space="preserve"> </w:t>
            </w:r>
            <w:r w:rsidRPr="00EB49C6">
              <w:rPr>
                <w:rFonts w:ascii="Verdana" w:hAnsi="Verdana"/>
                <w:sz w:val="18"/>
                <w:szCs w:val="18"/>
              </w:rPr>
              <w:br/>
              <w:t xml:space="preserve">- “Romanisation” of Britain: sites such as </w:t>
            </w:r>
            <w:proofErr w:type="spellStart"/>
            <w:r w:rsidRPr="00EB49C6">
              <w:rPr>
                <w:rFonts w:ascii="Verdana" w:hAnsi="Verdana"/>
                <w:sz w:val="18"/>
                <w:szCs w:val="18"/>
              </w:rPr>
              <w:t>Caerwent</w:t>
            </w:r>
            <w:proofErr w:type="spellEnd"/>
            <w:r w:rsidRPr="00EB49C6">
              <w:rPr>
                <w:rFonts w:ascii="Verdana" w:hAnsi="Verdana"/>
                <w:sz w:val="18"/>
                <w:szCs w:val="18"/>
              </w:rPr>
              <w:t xml:space="preserve"> and the impact of technology, culture and beliefs, including early Christianity </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EB49C6" w:rsidRPr="00EB49C6" w:rsidRDefault="00EB49C6" w:rsidP="00EB49C6">
            <w:pPr>
              <w:rPr>
                <w:rFonts w:ascii="Verdana" w:hAnsi="Verdana"/>
                <w:b/>
                <w:bCs/>
                <w:sz w:val="18"/>
                <w:szCs w:val="18"/>
              </w:rPr>
            </w:pPr>
            <w:r w:rsidRPr="00EB49C6">
              <w:rPr>
                <w:rFonts w:ascii="Verdana" w:hAnsi="Verdana"/>
                <w:b/>
                <w:bCs/>
                <w:sz w:val="18"/>
                <w:szCs w:val="18"/>
              </w:rPr>
              <w:t xml:space="preserve">The achievements of the earliest civilizations – </w:t>
            </w:r>
            <w:r w:rsidRPr="00EB49C6">
              <w:rPr>
                <w:rFonts w:ascii="Verdana" w:hAnsi="Verdana"/>
                <w:sz w:val="18"/>
                <w:szCs w:val="18"/>
              </w:rPr>
              <w:t xml:space="preserve">an overview of where and when the first civilizations appeared and a depth study of one of the following: Ancient Sumer; The Indus Valley; </w:t>
            </w:r>
            <w:r w:rsidRPr="00EB49C6">
              <w:rPr>
                <w:rFonts w:ascii="Verdana" w:hAnsi="Verdana"/>
                <w:b/>
                <w:bCs/>
                <w:sz w:val="18"/>
                <w:szCs w:val="18"/>
              </w:rPr>
              <w:t>Ancient Egyp</w:t>
            </w:r>
            <w:r w:rsidRPr="00EB49C6">
              <w:rPr>
                <w:rFonts w:ascii="Verdana" w:hAnsi="Verdana"/>
                <w:sz w:val="18"/>
                <w:szCs w:val="18"/>
              </w:rPr>
              <w:t xml:space="preserve">t; The Shang Dynasty of Ancient China </w:t>
            </w:r>
          </w:p>
        </w:tc>
        <w:tc>
          <w:tcPr>
            <w:tcW w:w="3422" w:type="dxa"/>
            <w:tcBorders>
              <w:top w:val="single" w:sz="4" w:space="0" w:color="auto"/>
              <w:left w:val="single" w:sz="4" w:space="0" w:color="auto"/>
              <w:bottom w:val="single" w:sz="4" w:space="0" w:color="auto"/>
              <w:right w:val="single" w:sz="4" w:space="0" w:color="auto"/>
            </w:tcBorders>
            <w:shd w:val="clear" w:color="auto" w:fill="auto"/>
            <w:vAlign w:val="center"/>
          </w:tcPr>
          <w:p w:rsidR="00EB49C6" w:rsidRPr="00EB49C6" w:rsidRDefault="00EB49C6" w:rsidP="00EB49C6">
            <w:pPr>
              <w:rPr>
                <w:rFonts w:ascii="Verdana" w:hAnsi="Verdana"/>
                <w:b/>
                <w:bCs/>
                <w:sz w:val="18"/>
                <w:szCs w:val="20"/>
              </w:rPr>
            </w:pPr>
            <w:r w:rsidRPr="00EB49C6">
              <w:rPr>
                <w:rFonts w:ascii="Verdana" w:hAnsi="Verdana"/>
                <w:b/>
                <w:bCs/>
                <w:sz w:val="18"/>
                <w:szCs w:val="20"/>
              </w:rPr>
              <w:t xml:space="preserve">A non-European society - one study chosen from: </w:t>
            </w:r>
            <w:r w:rsidRPr="00EB49C6">
              <w:rPr>
                <w:rFonts w:ascii="Verdana" w:hAnsi="Verdana"/>
                <w:b/>
                <w:bCs/>
                <w:sz w:val="18"/>
                <w:szCs w:val="20"/>
              </w:rPr>
              <w:br/>
            </w:r>
            <w:r w:rsidRPr="00EB49C6">
              <w:rPr>
                <w:rFonts w:ascii="Verdana" w:hAnsi="Verdana"/>
                <w:sz w:val="18"/>
                <w:szCs w:val="20"/>
              </w:rPr>
              <w:t xml:space="preserve">- Early Islamic civilization, c. AD 900; </w:t>
            </w:r>
            <w:r w:rsidRPr="00EB49C6">
              <w:rPr>
                <w:rFonts w:ascii="Verdana" w:hAnsi="Verdana"/>
                <w:sz w:val="18"/>
                <w:szCs w:val="20"/>
              </w:rPr>
              <w:br/>
              <w:t xml:space="preserve">- Mayan civilization c. AD 900; </w:t>
            </w:r>
            <w:r w:rsidRPr="00EB49C6">
              <w:rPr>
                <w:rFonts w:ascii="Verdana" w:hAnsi="Verdana"/>
                <w:sz w:val="18"/>
                <w:szCs w:val="20"/>
              </w:rPr>
              <w:br/>
              <w:t xml:space="preserve">- Benin c. AD 900-1300. </w:t>
            </w:r>
          </w:p>
        </w:tc>
        <w:tc>
          <w:tcPr>
            <w:tcW w:w="3639" w:type="dxa"/>
            <w:tcBorders>
              <w:top w:val="single" w:sz="4" w:space="0" w:color="auto"/>
              <w:left w:val="single" w:sz="4" w:space="0" w:color="auto"/>
              <w:bottom w:val="single" w:sz="4" w:space="0" w:color="auto"/>
              <w:right w:val="single" w:sz="4" w:space="0" w:color="auto"/>
            </w:tcBorders>
            <w:shd w:val="clear" w:color="auto" w:fill="auto"/>
            <w:vAlign w:val="center"/>
          </w:tcPr>
          <w:p w:rsidR="00EB49C6" w:rsidRPr="00EB49C6" w:rsidRDefault="00EB49C6" w:rsidP="00EB49C6">
            <w:pPr>
              <w:rPr>
                <w:rFonts w:ascii="Verdana" w:hAnsi="Verdana"/>
                <w:b/>
                <w:bCs/>
                <w:sz w:val="18"/>
                <w:szCs w:val="18"/>
              </w:rPr>
            </w:pPr>
            <w:r w:rsidRPr="00EB49C6">
              <w:rPr>
                <w:rFonts w:ascii="Verdana" w:hAnsi="Verdana"/>
                <w:b/>
                <w:bCs/>
                <w:sz w:val="18"/>
                <w:szCs w:val="18"/>
              </w:rPr>
              <w:t xml:space="preserve">A study of an aspect or theme in British history extends chronological knowledge beyond 1066 </w:t>
            </w:r>
            <w:r w:rsidRPr="00EB49C6">
              <w:rPr>
                <w:rFonts w:ascii="Verdana" w:hAnsi="Verdana"/>
                <w:sz w:val="18"/>
                <w:szCs w:val="18"/>
              </w:rPr>
              <w:t xml:space="preserve">For example: </w:t>
            </w:r>
            <w:r w:rsidRPr="00EB49C6">
              <w:rPr>
                <w:rFonts w:ascii="Verdana" w:hAnsi="Verdana"/>
                <w:sz w:val="18"/>
                <w:szCs w:val="18"/>
              </w:rPr>
              <w:br/>
              <w:t>- the changing power of monarchs using cas</w:t>
            </w:r>
            <w:r>
              <w:rPr>
                <w:rFonts w:ascii="Verdana" w:hAnsi="Verdana"/>
                <w:sz w:val="18"/>
                <w:szCs w:val="18"/>
              </w:rPr>
              <w:t>e studies such as John, Anne &amp;</w:t>
            </w:r>
            <w:r w:rsidRPr="00EB49C6">
              <w:rPr>
                <w:rFonts w:ascii="Verdana" w:hAnsi="Verdana"/>
                <w:sz w:val="18"/>
                <w:szCs w:val="18"/>
              </w:rPr>
              <w:t xml:space="preserve"> Victoria </w:t>
            </w:r>
            <w:r w:rsidRPr="00EB49C6">
              <w:rPr>
                <w:rFonts w:ascii="Verdana" w:hAnsi="Verdana"/>
                <w:sz w:val="18"/>
                <w:szCs w:val="18"/>
              </w:rPr>
              <w:br/>
              <w:t>- changes in an aspect of social history, such as crime and punishment from the Anglo-Saxons to the present or leisure and e</w:t>
            </w:r>
            <w:r>
              <w:rPr>
                <w:rFonts w:ascii="Verdana" w:hAnsi="Verdana"/>
                <w:sz w:val="18"/>
                <w:szCs w:val="18"/>
              </w:rPr>
              <w:t>ntertainment in the C.20th</w:t>
            </w:r>
            <w:r w:rsidRPr="00EB49C6">
              <w:rPr>
                <w:rFonts w:ascii="Verdana" w:hAnsi="Verdana"/>
                <w:sz w:val="18"/>
                <w:szCs w:val="18"/>
              </w:rPr>
              <w:t xml:space="preserve"> </w:t>
            </w:r>
            <w:r w:rsidRPr="00EB49C6">
              <w:rPr>
                <w:rFonts w:ascii="Verdana" w:hAnsi="Verdana"/>
                <w:sz w:val="18"/>
                <w:szCs w:val="18"/>
              </w:rPr>
              <w:br/>
              <w:t xml:space="preserve">- the legacy of Greek or Roman culture (art, architecture or literature) on later periods in British history, including the present day </w:t>
            </w:r>
            <w:r w:rsidRPr="00EB49C6">
              <w:rPr>
                <w:rFonts w:ascii="Verdana" w:hAnsi="Verdana"/>
                <w:sz w:val="18"/>
                <w:szCs w:val="18"/>
              </w:rPr>
              <w:br/>
              <w:t xml:space="preserve">- a significant turning point in British history, e.g. the first railways or the Battle of Britain </w:t>
            </w:r>
          </w:p>
        </w:tc>
      </w:tr>
    </w:tbl>
    <w:p w:rsidR="00F75102" w:rsidRPr="00EB49C6" w:rsidRDefault="00F75102" w:rsidP="00EB49C6">
      <w:pPr>
        <w:rPr>
          <w:sz w:val="28"/>
        </w:rPr>
      </w:pPr>
    </w:p>
    <w:sectPr w:rsidR="00F75102" w:rsidRPr="00EB49C6" w:rsidSect="0052555F">
      <w:pgSz w:w="16838" w:h="11899" w:orient="landscape"/>
      <w:pgMar w:top="1134" w:right="1701" w:bottom="1134" w:left="1701" w:header="709" w:footer="709" w:gutter="0"/>
      <w:cols w:space="708"/>
      <w:titlePg/>
      <w:docGrid w:linePitch="36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8705A"/>
    <w:multiLevelType w:val="hybridMultilevel"/>
    <w:tmpl w:val="F7D2B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83808C9"/>
    <w:multiLevelType w:val="hybridMultilevel"/>
    <w:tmpl w:val="75F00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C243F5E"/>
    <w:multiLevelType w:val="hybridMultilevel"/>
    <w:tmpl w:val="95BCB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CC1017"/>
    <w:multiLevelType w:val="hybridMultilevel"/>
    <w:tmpl w:val="E60AB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75102"/>
    <w:rsid w:val="004C3912"/>
    <w:rsid w:val="0052555F"/>
    <w:rsid w:val="005F232A"/>
    <w:rsid w:val="008F6273"/>
    <w:rsid w:val="009F750A"/>
    <w:rsid w:val="00EB49C6"/>
    <w:rsid w:val="00F75102"/>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27B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F75102"/>
    <w:pPr>
      <w:ind w:left="720"/>
      <w:contextualSpacing/>
    </w:pPr>
  </w:style>
</w:styles>
</file>

<file path=word/webSettings.xml><?xml version="1.0" encoding="utf-8"?>
<w:webSettings xmlns:r="http://schemas.openxmlformats.org/officeDocument/2006/relationships" xmlns:w="http://schemas.openxmlformats.org/wordprocessingml/2006/main">
  <w:divs>
    <w:div w:id="921183444">
      <w:bodyDiv w:val="1"/>
      <w:marLeft w:val="0"/>
      <w:marRight w:val="0"/>
      <w:marTop w:val="0"/>
      <w:marBottom w:val="0"/>
      <w:divBdr>
        <w:top w:val="none" w:sz="0" w:space="0" w:color="auto"/>
        <w:left w:val="none" w:sz="0" w:space="0" w:color="auto"/>
        <w:bottom w:val="none" w:sz="0" w:space="0" w:color="auto"/>
        <w:right w:val="none" w:sz="0" w:space="0" w:color="auto"/>
      </w:divBdr>
    </w:div>
    <w:div w:id="1276329765">
      <w:bodyDiv w:val="1"/>
      <w:marLeft w:val="0"/>
      <w:marRight w:val="0"/>
      <w:marTop w:val="0"/>
      <w:marBottom w:val="0"/>
      <w:divBdr>
        <w:top w:val="none" w:sz="0" w:space="0" w:color="auto"/>
        <w:left w:val="none" w:sz="0" w:space="0" w:color="auto"/>
        <w:bottom w:val="none" w:sz="0" w:space="0" w:color="auto"/>
        <w:right w:val="none" w:sz="0" w:space="0" w:color="auto"/>
      </w:divBdr>
    </w:div>
    <w:div w:id="1969628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636</Words>
  <Characters>3630</Characters>
  <Application>Microsoft Macintosh Word</Application>
  <DocSecurity>0</DocSecurity>
  <Lines>30</Lines>
  <Paragraphs>7</Paragraphs>
  <ScaleCrop>false</ScaleCrop>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Taylor</dc:creator>
  <cp:keywords/>
  <cp:lastModifiedBy>Tim Taylor</cp:lastModifiedBy>
  <cp:revision>4</cp:revision>
  <dcterms:created xsi:type="dcterms:W3CDTF">2013-07-09T18:01:00Z</dcterms:created>
  <dcterms:modified xsi:type="dcterms:W3CDTF">2013-07-09T18:48:00Z</dcterms:modified>
</cp:coreProperties>
</file>